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5D0" w14:textId="77777777" w:rsidR="004B3986" w:rsidRPr="00876FE5" w:rsidRDefault="007A6637" w:rsidP="00876FE5">
      <w:pPr>
        <w:jc w:val="center"/>
        <w:rPr>
          <w:rFonts w:ascii="Arial" w:hAnsi="Arial" w:cs="Arial"/>
          <w:b/>
        </w:rPr>
      </w:pPr>
      <w:proofErr w:type="spellStart"/>
      <w:r w:rsidRPr="00876FE5">
        <w:rPr>
          <w:rFonts w:ascii="Arial" w:hAnsi="Arial" w:cs="Arial"/>
          <w:b/>
        </w:rPr>
        <w:t>İş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ve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Görev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Tanım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Formu</w:t>
      </w:r>
      <w:proofErr w:type="spellEnd"/>
      <w:r w:rsidR="00876FE5" w:rsidRPr="00876FE5">
        <w:rPr>
          <w:rFonts w:ascii="Arial" w:hAnsi="Arial" w:cs="Arial"/>
          <w:b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14:paraId="740F6E60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2091389E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7E35C6E2" w14:textId="60E82F60" w:rsidR="007A6637" w:rsidRPr="007A6637" w:rsidRDefault="00850FC1" w:rsidP="009F2547">
            <w:pPr>
              <w:tabs>
                <w:tab w:val="right" w:pos="4366"/>
              </w:tabs>
            </w:pPr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701BC2DC" w14:textId="77777777" w:rsidR="007A6637" w:rsidRDefault="007A6637" w:rsidP="005F0C7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B9CAD6D" wp14:editId="24B609DD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14:paraId="12040478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F0A4DD7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Kadro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1958F96A" w14:textId="589C5203" w:rsidR="007A6637" w:rsidRPr="007A6637" w:rsidRDefault="00850FC1" w:rsidP="00575C91"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536" w:type="dxa"/>
            <w:vMerge/>
          </w:tcPr>
          <w:p w14:paraId="056515DA" w14:textId="77777777" w:rsidR="007A6637" w:rsidRDefault="007A6637" w:rsidP="005F0C7D"/>
        </w:tc>
      </w:tr>
      <w:tr w:rsidR="00876FE5" w14:paraId="052C15BD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3F2C32E1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1DA8BFED" w14:textId="6ABA676F" w:rsidR="007A6637" w:rsidRPr="007A6637" w:rsidRDefault="00850FC1" w:rsidP="005F0C7D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/>
          </w:tcPr>
          <w:p w14:paraId="6DD7A6EF" w14:textId="77777777" w:rsidR="007A6637" w:rsidRDefault="007A6637" w:rsidP="005F0C7D"/>
        </w:tc>
      </w:tr>
      <w:tr w:rsidR="004B6F09" w14:paraId="739972DB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74AB15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5781A9CC" w14:textId="5C5F8216" w:rsidR="007A6637" w:rsidRPr="007A6637" w:rsidRDefault="007F518D" w:rsidP="005F0C7D">
            <w:proofErr w:type="spellStart"/>
            <w: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245BDF7D" w14:textId="77777777" w:rsidR="007A6637" w:rsidRDefault="007A6637" w:rsidP="005F0C7D"/>
        </w:tc>
      </w:tr>
      <w:tr w:rsidR="00876FE5" w14:paraId="77BDF7B5" w14:textId="77777777" w:rsidTr="004B6F09">
        <w:trPr>
          <w:trHeight w:val="246"/>
        </w:trPr>
        <w:tc>
          <w:tcPr>
            <w:tcW w:w="2957" w:type="dxa"/>
            <w:shd w:val="clear" w:color="auto" w:fill="EF463B"/>
          </w:tcPr>
          <w:p w14:paraId="60D8417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r w:rsidRPr="004B3986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Düzey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6353EFC2" w14:textId="46B02858" w:rsidR="007A6637" w:rsidRPr="00AA5BC2" w:rsidRDefault="00850FC1" w:rsidP="005F0C7D">
            <w:pPr>
              <w:rPr>
                <w:lang w:val="tr-TR"/>
              </w:rPr>
            </w:pPr>
            <w:r>
              <w:rPr>
                <w:lang w:val="tr-TR"/>
              </w:rPr>
              <w:t>Genel Sekreterlik</w:t>
            </w:r>
          </w:p>
        </w:tc>
        <w:tc>
          <w:tcPr>
            <w:tcW w:w="1536" w:type="dxa"/>
            <w:vMerge/>
          </w:tcPr>
          <w:p w14:paraId="2621BF8B" w14:textId="77777777" w:rsidR="007A6637" w:rsidRDefault="007A6637" w:rsidP="005F0C7D"/>
        </w:tc>
      </w:tr>
      <w:tr w:rsidR="00876FE5" w14:paraId="665A57DC" w14:textId="77777777" w:rsidTr="004B6F09">
        <w:trPr>
          <w:trHeight w:val="779"/>
        </w:trPr>
        <w:tc>
          <w:tcPr>
            <w:tcW w:w="2957" w:type="dxa"/>
            <w:shd w:val="clear" w:color="auto" w:fill="EF463B"/>
          </w:tcPr>
          <w:p w14:paraId="4DD4CE25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77F530CA" w14:textId="089C9814" w:rsidR="005F0C7D" w:rsidRPr="007A6637" w:rsidRDefault="007F518D" w:rsidP="00FA2337">
            <w:pPr>
              <w:jc w:val="left"/>
            </w:pPr>
            <w:proofErr w:type="spellStart"/>
            <w: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145D9CF0" w14:textId="77777777" w:rsidR="007A6637" w:rsidRDefault="007A6637" w:rsidP="005F0C7D"/>
        </w:tc>
      </w:tr>
    </w:tbl>
    <w:p w14:paraId="138BDC56" w14:textId="0133695F" w:rsidR="005F0C7D" w:rsidRDefault="005F0C7D" w:rsidP="00876FE5">
      <w:pPr>
        <w:ind w:right="-68"/>
      </w:pPr>
    </w:p>
    <w:p w14:paraId="43FAB89A" w14:textId="77777777" w:rsidR="004B6F09" w:rsidRDefault="004B6F09" w:rsidP="004B6F09">
      <w:pPr>
        <w:pStyle w:val="Balk1"/>
      </w:pPr>
      <w:proofErr w:type="spellStart"/>
      <w:r w:rsidRPr="00092BBD">
        <w:t>Gerekli</w:t>
      </w:r>
      <w:proofErr w:type="spellEnd"/>
      <w:r w:rsidRPr="00092BBD">
        <w:t xml:space="preserve"> </w:t>
      </w:r>
      <w:proofErr w:type="spellStart"/>
      <w:r w:rsidRPr="00092BBD">
        <w:t>Bilgi</w:t>
      </w:r>
      <w:proofErr w:type="spellEnd"/>
      <w:r w:rsidRPr="00092BBD">
        <w:t xml:space="preserve"> </w:t>
      </w:r>
      <w:proofErr w:type="spellStart"/>
      <w:r w:rsidRPr="00092BBD">
        <w:t>ve</w:t>
      </w:r>
      <w:proofErr w:type="spellEnd"/>
      <w:r w:rsidRPr="00092BBD">
        <w:t xml:space="preserve"> </w:t>
      </w:r>
      <w:proofErr w:type="spellStart"/>
      <w:r w:rsidRPr="00092BBD">
        <w:t>Beceriler</w:t>
      </w:r>
      <w:proofErr w:type="spellEnd"/>
    </w:p>
    <w:p w14:paraId="0488C02B" w14:textId="4A09FAB5" w:rsidR="00575C91" w:rsidRPr="003F1EFC" w:rsidRDefault="005F0C7D" w:rsidP="00315379">
      <w:pPr>
        <w:pStyle w:val="AralkYok"/>
        <w:numPr>
          <w:ilvl w:val="0"/>
          <w:numId w:val="5"/>
        </w:numPr>
      </w:pPr>
      <w:proofErr w:type="spellStart"/>
      <w:r>
        <w:t>Arşivcilik</w:t>
      </w:r>
      <w:proofErr w:type="spellEnd"/>
      <w:r>
        <w:t xml:space="preserve"> </w:t>
      </w:r>
      <w:proofErr w:type="spellStart"/>
      <w:r>
        <w:t>Bilgisi</w:t>
      </w:r>
      <w:proofErr w:type="spellEnd"/>
    </w:p>
    <w:p w14:paraId="5C8FA65C" w14:textId="771D47FA" w:rsidR="005F0C7D" w:rsidRDefault="005F0C7D" w:rsidP="00315379">
      <w:pPr>
        <w:pStyle w:val="AralkYok"/>
        <w:numPr>
          <w:ilvl w:val="0"/>
          <w:numId w:val="5"/>
        </w:numPr>
      </w:pPr>
      <w:r>
        <w:t xml:space="preserve">Microsoft Word, </w:t>
      </w:r>
      <w:proofErr w:type="spellStart"/>
      <w:r>
        <w:t>Excell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</w:p>
    <w:p w14:paraId="0D40EB65" w14:textId="27AADE8E" w:rsidR="00575C91" w:rsidRDefault="005F0C7D" w:rsidP="00315379">
      <w:pPr>
        <w:pStyle w:val="AralkYok"/>
        <w:numPr>
          <w:ilvl w:val="0"/>
          <w:numId w:val="5"/>
        </w:numPr>
      </w:pPr>
      <w:r>
        <w:t xml:space="preserve">İnternet </w:t>
      </w:r>
      <w:proofErr w:type="spellStart"/>
      <w:r>
        <w:t>Kullanımı</w:t>
      </w:r>
      <w:proofErr w:type="spellEnd"/>
    </w:p>
    <w:p w14:paraId="3F225978" w14:textId="7431B16D" w:rsidR="00E002B5" w:rsidRDefault="00E002B5" w:rsidP="00315379">
      <w:pPr>
        <w:pStyle w:val="AralkYok"/>
        <w:numPr>
          <w:ilvl w:val="0"/>
          <w:numId w:val="5"/>
        </w:numPr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, </w:t>
      </w:r>
      <w:proofErr w:type="spellStart"/>
      <w:r>
        <w:t>yönetmelik</w:t>
      </w:r>
      <w:proofErr w:type="spellEnd"/>
      <w:r>
        <w:t xml:space="preserve">,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bilme</w:t>
      </w:r>
      <w:proofErr w:type="spellEnd"/>
    </w:p>
    <w:p w14:paraId="31709457" w14:textId="2F87DD02" w:rsidR="00304F43" w:rsidRPr="00417DF5" w:rsidRDefault="00304F43" w:rsidP="0074330A">
      <w:pPr>
        <w:pStyle w:val="AralkYok"/>
        <w:ind w:firstLine="720"/>
      </w:pPr>
      <w:proofErr w:type="spellStart"/>
      <w:r w:rsidRPr="0060531E">
        <w:rPr>
          <w:b/>
          <w:bCs/>
          <w:color w:val="FF0000"/>
        </w:rPr>
        <w:t>Yönetmelik</w:t>
      </w:r>
      <w:proofErr w:type="spellEnd"/>
      <w:r w:rsidRPr="0060531E">
        <w:t>:</w:t>
      </w:r>
      <w:r w:rsidRPr="0060531E">
        <w:rPr>
          <w:rFonts w:eastAsia="Times New Roman"/>
        </w:rPr>
        <w:t xml:space="preserve"> </w:t>
      </w:r>
      <w:r w:rsidR="007E2A02">
        <w:t>1</w:t>
      </w:r>
      <w:r w:rsidR="00266711">
        <w:t xml:space="preserve">8.10.2019 </w:t>
      </w:r>
      <w:proofErr w:type="spellStart"/>
      <w:r w:rsidR="00266711">
        <w:t>tarih</w:t>
      </w:r>
      <w:proofErr w:type="spellEnd"/>
      <w:r w:rsidR="00266711">
        <w:t xml:space="preserve"> </w:t>
      </w:r>
      <w:proofErr w:type="spellStart"/>
      <w:r w:rsidR="00266711">
        <w:t>ve</w:t>
      </w:r>
      <w:proofErr w:type="spellEnd"/>
      <w:r w:rsidR="00266711">
        <w:t xml:space="preserve"> 30922 </w:t>
      </w:r>
      <w:proofErr w:type="spellStart"/>
      <w:r w:rsidR="00266711">
        <w:t>sayılı</w:t>
      </w:r>
      <w:proofErr w:type="spellEnd"/>
      <w:r w:rsidR="00266711">
        <w:t xml:space="preserve"> </w:t>
      </w:r>
      <w:proofErr w:type="spellStart"/>
      <w:r w:rsidR="00266711">
        <w:t>Resmi</w:t>
      </w:r>
      <w:proofErr w:type="spellEnd"/>
      <w:r w:rsidR="00266711">
        <w:t xml:space="preserve"> </w:t>
      </w:r>
      <w:proofErr w:type="spellStart"/>
      <w:r w:rsidR="00266711">
        <w:t>Gazetede</w:t>
      </w:r>
      <w:proofErr w:type="spellEnd"/>
      <w:r w:rsidR="00266711">
        <w:t xml:space="preserve"> </w:t>
      </w:r>
      <w:proofErr w:type="spellStart"/>
      <w:r w:rsidR="00266711">
        <w:t>yayınlan</w:t>
      </w:r>
      <w:r w:rsidR="0071624C">
        <w:t>an</w:t>
      </w:r>
      <w:proofErr w:type="spellEnd"/>
      <w:r w:rsidR="0071624C">
        <w:t xml:space="preserve"> </w:t>
      </w:r>
      <w:proofErr w:type="spellStart"/>
      <w:r w:rsidRPr="0060531E">
        <w:t>Devlet</w:t>
      </w:r>
      <w:proofErr w:type="spellEnd"/>
      <w:r w:rsidRPr="0060531E">
        <w:t xml:space="preserve"> </w:t>
      </w:r>
      <w:proofErr w:type="spellStart"/>
      <w:r w:rsidRPr="0060531E">
        <w:t>Arşiv</w:t>
      </w:r>
      <w:proofErr w:type="spellEnd"/>
      <w:r w:rsidRPr="0060531E">
        <w:t xml:space="preserve"> </w:t>
      </w:r>
      <w:proofErr w:type="spellStart"/>
      <w:r w:rsidRPr="0060531E">
        <w:t>Hizmetleri</w:t>
      </w:r>
      <w:proofErr w:type="spellEnd"/>
      <w:r w:rsidRPr="0060531E">
        <w:t xml:space="preserve"> </w:t>
      </w:r>
      <w:proofErr w:type="spellStart"/>
      <w:r w:rsidRPr="0060531E">
        <w:t>Hakkında</w:t>
      </w:r>
      <w:proofErr w:type="spellEnd"/>
      <w:r w:rsidRPr="0060531E">
        <w:t xml:space="preserve"> </w:t>
      </w:r>
      <w:proofErr w:type="spellStart"/>
      <w:r w:rsidRPr="0060531E">
        <w:t>Yönetmelik</w:t>
      </w:r>
      <w:proofErr w:type="spellEnd"/>
    </w:p>
    <w:p w14:paraId="42E3121B" w14:textId="77777777" w:rsidR="00575C91" w:rsidRPr="00623E75" w:rsidRDefault="00575C91" w:rsidP="00315379">
      <w:pPr>
        <w:pStyle w:val="AralkYok"/>
        <w:numPr>
          <w:ilvl w:val="0"/>
          <w:numId w:val="5"/>
        </w:numPr>
      </w:pPr>
      <w:r>
        <w:t xml:space="preserve">657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Tabii</w:t>
      </w:r>
      <w:proofErr w:type="spellEnd"/>
      <w:r>
        <w:t xml:space="preserve"> </w:t>
      </w:r>
      <w:proofErr w:type="spellStart"/>
      <w:r>
        <w:t>olma</w:t>
      </w:r>
      <w:proofErr w:type="spellEnd"/>
    </w:p>
    <w:p w14:paraId="1C3A5D4B" w14:textId="77777777" w:rsidR="00876FE5" w:rsidRDefault="00876FE5" w:rsidP="00876FE5">
      <w:pPr>
        <w:pStyle w:val="Balk1"/>
        <w:ind w:right="-68"/>
      </w:pPr>
      <w:proofErr w:type="spellStart"/>
      <w:r>
        <w:t>İş</w:t>
      </w:r>
      <w:proofErr w:type="spellEnd"/>
      <w:r>
        <w:t>/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(</w:t>
      </w:r>
      <w:proofErr w:type="spellStart"/>
      <w:r>
        <w:t>Özeti</w:t>
      </w:r>
      <w:proofErr w:type="spellEnd"/>
      <w:r>
        <w:t>)</w:t>
      </w:r>
    </w:p>
    <w:p w14:paraId="0619C4AA" w14:textId="6C5B2012" w:rsidR="00C72DF8" w:rsidRPr="009740FE" w:rsidRDefault="00081D84" w:rsidP="00315379">
      <w:pPr>
        <w:pStyle w:val="AralkYok"/>
        <w:rPr>
          <w:b/>
        </w:rPr>
      </w:pPr>
      <w:r>
        <w:t xml:space="preserve">İstanbul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tarihlere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konulardaki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;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, </w:t>
      </w:r>
      <w:proofErr w:type="spellStart"/>
      <w:r>
        <w:t>okulla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Yönetmeliklerinde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prosedürler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saklamak</w:t>
      </w:r>
      <w:proofErr w:type="spellEnd"/>
      <w:r>
        <w:t xml:space="preserve">, </w:t>
      </w:r>
      <w:proofErr w:type="spellStart"/>
      <w:r>
        <w:t>korumak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araştırmacıya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dolanları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ayırmak</w:t>
      </w:r>
      <w:proofErr w:type="spellEnd"/>
      <w:r>
        <w:t xml:space="preserve">, </w:t>
      </w:r>
      <w:proofErr w:type="spellStart"/>
      <w:r w:rsidR="0046096C">
        <w:t>T.C.Cumhurbaşkanlığı</w:t>
      </w:r>
      <w:proofErr w:type="spellEnd"/>
      <w:r w:rsidR="0046096C"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 w:rsidR="0046096C">
        <w:t xml:space="preserve"> </w:t>
      </w:r>
      <w:proofErr w:type="spellStart"/>
      <w:r w:rsidR="0046096C">
        <w:t>Başkanlığı’na</w:t>
      </w:r>
      <w:proofErr w:type="spellEnd"/>
      <w:r w:rsidR="0046096C">
        <w:t xml:space="preserve"> </w:t>
      </w:r>
      <w:proofErr w:type="spellStart"/>
      <w:r>
        <w:t>nakledilmesini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14:paraId="259A6D00" w14:textId="77777777" w:rsidR="004B6F09" w:rsidRDefault="004B6F09" w:rsidP="009740FE">
      <w:pPr>
        <w:pStyle w:val="Balk1"/>
        <w:ind w:right="-68"/>
      </w:pPr>
      <w:proofErr w:type="spellStart"/>
      <w:r>
        <w:t>İşi</w:t>
      </w:r>
      <w:proofErr w:type="spellEnd"/>
      <w:r>
        <w:t>/</w:t>
      </w:r>
      <w:proofErr w:type="spellStart"/>
      <w:r>
        <w:t>Görevi</w:t>
      </w:r>
      <w:proofErr w:type="spellEnd"/>
    </w:p>
    <w:p w14:paraId="5C1889F6" w14:textId="77777777" w:rsidR="006E7542" w:rsidRDefault="006E7542" w:rsidP="00971218">
      <w:pPr>
        <w:jc w:val="left"/>
      </w:pPr>
    </w:p>
    <w:p w14:paraId="3A905058" w14:textId="3AA23BB5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Kadro</w:t>
      </w:r>
      <w:proofErr w:type="spellEnd"/>
      <w:r>
        <w:t xml:space="preserve"> </w:t>
      </w:r>
      <w:proofErr w:type="spellStart"/>
      <w:r>
        <w:t>unvanının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yetkiler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müdürlüğünü</w:t>
      </w:r>
      <w:proofErr w:type="spellEnd"/>
      <w:r>
        <w:t xml:space="preserve">        </w:t>
      </w:r>
      <w:proofErr w:type="spellStart"/>
      <w:r w:rsidR="00971218">
        <w:t>ilgili</w:t>
      </w:r>
      <w:proofErr w:type="spellEnd"/>
      <w:r w:rsidR="00971218">
        <w:t xml:space="preserve"> </w:t>
      </w:r>
      <w:proofErr w:type="spellStart"/>
      <w:r w:rsidR="00971218">
        <w:t>mevzuat</w:t>
      </w:r>
      <w:proofErr w:type="spellEnd"/>
      <w:r w:rsidR="00971218">
        <w:t xml:space="preserve"> </w:t>
      </w:r>
      <w:r>
        <w:t>,</w:t>
      </w:r>
      <w:proofErr w:type="spellStart"/>
      <w:r>
        <w:t>yönetmelik</w:t>
      </w:r>
      <w:proofErr w:type="spellEnd"/>
      <w:r w:rsidR="00971218">
        <w:t xml:space="preserve">, </w:t>
      </w:r>
      <w:proofErr w:type="spellStart"/>
      <w:r w:rsidR="00971218">
        <w:t>yönerge</w:t>
      </w:r>
      <w:proofErr w:type="spellEnd"/>
      <w:r w:rsidR="00971218">
        <w:t xml:space="preserve"> </w:t>
      </w:r>
      <w:proofErr w:type="spellStart"/>
      <w:r w:rsidR="00971218">
        <w:t>ve</w:t>
      </w:r>
      <w:proofErr w:type="spellEnd"/>
      <w:r w:rsidR="00971218">
        <w:t xml:space="preserve"> </w:t>
      </w:r>
      <w:proofErr w:type="spellStart"/>
      <w:r w:rsidR="00971218">
        <w:t>esaslara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etmek</w:t>
      </w:r>
      <w:proofErr w:type="spellEnd"/>
    </w:p>
    <w:p w14:paraId="0E7DC532" w14:textId="68EAD71A" w:rsidR="006E7542" w:rsidRDefault="006E7542" w:rsidP="00971218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belirlemek</w:t>
      </w:r>
      <w:proofErr w:type="spellEnd"/>
    </w:p>
    <w:p w14:paraId="0A02BFF2" w14:textId="77777777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dağılımını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süreçlerini</w:t>
      </w:r>
      <w:proofErr w:type="spellEnd"/>
      <w:r>
        <w:t xml:space="preserve"> </w:t>
      </w:r>
      <w:proofErr w:type="spellStart"/>
      <w:r>
        <w:t>izlemek</w:t>
      </w:r>
      <w:proofErr w:type="spellEnd"/>
    </w:p>
    <w:p w14:paraId="00C6E94F" w14:textId="77777777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33989A44" w14:textId="5A83E29E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Arşivde</w:t>
      </w:r>
      <w:proofErr w:type="spellEnd"/>
      <w:r>
        <w:t xml:space="preserve"> </w:t>
      </w:r>
      <w:proofErr w:type="spellStart"/>
      <w:r>
        <w:t>bekleme</w:t>
      </w:r>
      <w:proofErr w:type="spellEnd"/>
      <w:r>
        <w:t xml:space="preserve"> </w:t>
      </w:r>
      <w:proofErr w:type="spellStart"/>
      <w:r>
        <w:t>sürelerini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ayıklama</w:t>
      </w:r>
      <w:proofErr w:type="spellEnd"/>
      <w:r>
        <w:t xml:space="preserve">,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; </w:t>
      </w:r>
      <w:proofErr w:type="spellStart"/>
      <w:r>
        <w:t>ayıklama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. </w:t>
      </w:r>
    </w:p>
    <w:p w14:paraId="62BFBD7E" w14:textId="3B289B75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Arşiv</w:t>
      </w:r>
      <w:proofErr w:type="spellEnd"/>
      <w:r>
        <w:t xml:space="preserve"> </w:t>
      </w:r>
      <w:proofErr w:type="spellStart"/>
      <w:r>
        <w:t>evraklarının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saklanabilmesi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ortamın</w:t>
      </w:r>
      <w:proofErr w:type="spellEnd"/>
      <w:r>
        <w:t xml:space="preserve"> </w:t>
      </w:r>
      <w:proofErr w:type="spellStart"/>
      <w:r>
        <w:t>sağlanabilmesi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amirleri</w:t>
      </w:r>
      <w:r w:rsidR="00F3189C">
        <w:t>ni</w:t>
      </w:r>
      <w:proofErr w:type="spellEnd"/>
      <w:r>
        <w:t xml:space="preserve"> </w:t>
      </w:r>
      <w:proofErr w:type="spellStart"/>
      <w:r>
        <w:t>bilgilendirmek</w:t>
      </w:r>
      <w:proofErr w:type="spellEnd"/>
      <w:r>
        <w:t xml:space="preserve">. </w:t>
      </w:r>
    </w:p>
    <w:p w14:paraId="72CA249C" w14:textId="2015D4EF" w:rsidR="00E91472" w:rsidRDefault="00E91472" w:rsidP="00E91472">
      <w:pPr>
        <w:pStyle w:val="ListeParagraf"/>
        <w:numPr>
          <w:ilvl w:val="0"/>
          <w:numId w:val="5"/>
        </w:numPr>
        <w:jc w:val="left"/>
      </w:pPr>
      <w:proofErr w:type="spellStart"/>
      <w:r>
        <w:t>Bağlı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>/</w:t>
      </w:r>
      <w:proofErr w:type="spellStart"/>
      <w:r>
        <w:t>yöneticiler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mevzuattaki</w:t>
      </w:r>
      <w:proofErr w:type="spellEnd"/>
      <w:r>
        <w:t xml:space="preserve"> </w:t>
      </w:r>
      <w:proofErr w:type="spellStart"/>
      <w:r>
        <w:t>değişikliklerle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.</w:t>
      </w:r>
    </w:p>
    <w:p w14:paraId="0096A035" w14:textId="69C0833F" w:rsidR="00A03353" w:rsidRDefault="00A03353" w:rsidP="00E91472">
      <w:pPr>
        <w:pStyle w:val="ListeParagraf"/>
        <w:numPr>
          <w:ilvl w:val="0"/>
          <w:numId w:val="5"/>
        </w:numPr>
        <w:jc w:val="left"/>
      </w:pPr>
      <w:proofErr w:type="spellStart"/>
      <w:r>
        <w:t>Arşivlerin</w:t>
      </w:r>
      <w:proofErr w:type="spellEnd"/>
      <w:r>
        <w:t xml:space="preserve"> </w:t>
      </w:r>
      <w:proofErr w:type="spellStart"/>
      <w:r>
        <w:t>temizliğini</w:t>
      </w:r>
      <w:proofErr w:type="spellEnd"/>
      <w:r>
        <w:t xml:space="preserve"> </w:t>
      </w:r>
      <w:proofErr w:type="spellStart"/>
      <w:r>
        <w:t>yaptırarak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. </w:t>
      </w:r>
    </w:p>
    <w:p w14:paraId="4BF7CC42" w14:textId="18C971A7" w:rsidR="00850FC1" w:rsidRPr="00850FC1" w:rsidRDefault="00E91472" w:rsidP="00F75A41">
      <w:pPr>
        <w:pStyle w:val="ListeParagraf"/>
        <w:numPr>
          <w:ilvl w:val="0"/>
          <w:numId w:val="5"/>
        </w:numPr>
        <w:spacing w:after="160" w:line="259" w:lineRule="auto"/>
        <w:jc w:val="left"/>
        <w:rPr>
          <w:rFonts w:cstheme="minorHAnsi"/>
          <w:szCs w:val="22"/>
        </w:rPr>
      </w:pPr>
      <w:proofErr w:type="spellStart"/>
      <w:r>
        <w:t>Arşive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yangın</w:t>
      </w:r>
      <w:proofErr w:type="spellEnd"/>
      <w:r>
        <w:t xml:space="preserve">, </w:t>
      </w:r>
      <w:proofErr w:type="spellStart"/>
      <w:r>
        <w:t>hırsızlık</w:t>
      </w:r>
      <w:proofErr w:type="spellEnd"/>
      <w:r>
        <w:t xml:space="preserve">, </w:t>
      </w:r>
      <w:proofErr w:type="spellStart"/>
      <w:r>
        <w:t>rutubet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baskını</w:t>
      </w:r>
      <w:proofErr w:type="spellEnd"/>
      <w:r>
        <w:t xml:space="preserve">, </w:t>
      </w:r>
      <w:proofErr w:type="spellStart"/>
      <w:r>
        <w:t>toz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böcek</w:t>
      </w:r>
      <w:proofErr w:type="spellEnd"/>
      <w:r>
        <w:t xml:space="preserve"> </w:t>
      </w:r>
      <w:proofErr w:type="spellStart"/>
      <w:r>
        <w:t>zararlarına</w:t>
      </w:r>
      <w:proofErr w:type="spellEnd"/>
      <w:r>
        <w:t xml:space="preserve"> </w:t>
      </w:r>
      <w:proofErr w:type="spellStart"/>
      <w:r>
        <w:t>kar</w:t>
      </w:r>
      <w:r w:rsidR="007F518D">
        <w:t>şı</w:t>
      </w:r>
      <w:proofErr w:type="spellEnd"/>
      <w:r w:rsidR="007F518D">
        <w:t xml:space="preserve"> </w:t>
      </w:r>
      <w:proofErr w:type="spellStart"/>
      <w:r w:rsidR="007F518D">
        <w:t>gerekli</w:t>
      </w:r>
      <w:proofErr w:type="spellEnd"/>
      <w:r w:rsidR="007F518D">
        <w:t xml:space="preserve"> </w:t>
      </w:r>
      <w:proofErr w:type="spellStart"/>
      <w:r w:rsidR="007F518D">
        <w:t>tedbirlerin</w:t>
      </w:r>
      <w:proofErr w:type="spellEnd"/>
      <w:r w:rsidR="007F518D">
        <w:t xml:space="preserve"> </w:t>
      </w:r>
      <w:proofErr w:type="spellStart"/>
      <w:r w:rsidR="007F518D">
        <w:t>alınarak</w:t>
      </w:r>
      <w:proofErr w:type="spellEnd"/>
      <w:r>
        <w:t xml:space="preserve"> </w:t>
      </w:r>
      <w:proofErr w:type="spellStart"/>
      <w:r>
        <w:t>korunmasının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yetkilileri</w:t>
      </w:r>
      <w:proofErr w:type="spellEnd"/>
      <w:r>
        <w:t xml:space="preserve"> </w:t>
      </w:r>
      <w:proofErr w:type="spellStart"/>
      <w:r>
        <w:t>bilgilendirmek</w:t>
      </w:r>
      <w:proofErr w:type="spellEnd"/>
    </w:p>
    <w:p w14:paraId="1099A2E4" w14:textId="4E0B2A30" w:rsidR="00971218" w:rsidRPr="00850FC1" w:rsidRDefault="00850FC1" w:rsidP="00F75A41">
      <w:pPr>
        <w:pStyle w:val="ListeParagraf"/>
        <w:numPr>
          <w:ilvl w:val="0"/>
          <w:numId w:val="5"/>
        </w:numPr>
        <w:spacing w:after="160" w:line="259" w:lineRule="auto"/>
        <w:jc w:val="left"/>
        <w:rPr>
          <w:rFonts w:cstheme="minorHAnsi"/>
          <w:szCs w:val="22"/>
        </w:rPr>
      </w:pPr>
      <w:proofErr w:type="spellStart"/>
      <w:r w:rsidRPr="00850FC1">
        <w:rPr>
          <w:rFonts w:cstheme="minorHAnsi"/>
          <w:szCs w:val="22"/>
        </w:rPr>
        <w:lastRenderedPageBreak/>
        <w:t>Üniversitenin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tüm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birim</w:t>
      </w:r>
      <w:proofErr w:type="spellEnd"/>
      <w:r w:rsidRPr="00850FC1">
        <w:rPr>
          <w:rFonts w:cstheme="minorHAnsi"/>
          <w:szCs w:val="22"/>
        </w:rPr>
        <w:t xml:space="preserve">, </w:t>
      </w:r>
      <w:proofErr w:type="spellStart"/>
      <w:r w:rsidRPr="00850FC1">
        <w:rPr>
          <w:rFonts w:cstheme="minorHAnsi"/>
          <w:szCs w:val="22"/>
        </w:rPr>
        <w:t>fakülte</w:t>
      </w:r>
      <w:proofErr w:type="spellEnd"/>
      <w:r w:rsidRPr="00850FC1">
        <w:rPr>
          <w:rFonts w:cstheme="minorHAnsi"/>
          <w:szCs w:val="22"/>
        </w:rPr>
        <w:t xml:space="preserve">, </w:t>
      </w:r>
      <w:proofErr w:type="spellStart"/>
      <w:r w:rsidRPr="00850FC1">
        <w:rPr>
          <w:rFonts w:cstheme="minorHAnsi"/>
          <w:szCs w:val="22"/>
        </w:rPr>
        <w:t>yüksek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okul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ve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enstitülerinden</w:t>
      </w:r>
      <w:proofErr w:type="spellEnd"/>
      <w:r w:rsidRPr="00850FC1">
        <w:rPr>
          <w:rFonts w:cstheme="minorHAnsi"/>
          <w:szCs w:val="22"/>
        </w:rPr>
        <w:t xml:space="preserve"> her </w:t>
      </w:r>
      <w:proofErr w:type="spellStart"/>
      <w:r w:rsidRPr="00850FC1">
        <w:rPr>
          <w:rFonts w:cstheme="minorHAnsi"/>
          <w:szCs w:val="22"/>
        </w:rPr>
        <w:t>yılın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başında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bir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önceki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yıla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ait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Yıllık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Fa</w:t>
      </w:r>
      <w:r>
        <w:rPr>
          <w:rFonts w:cstheme="minorHAnsi"/>
          <w:szCs w:val="22"/>
        </w:rPr>
        <w:t>aliyet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Raporları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talep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etmek</w:t>
      </w:r>
      <w:proofErr w:type="spellEnd"/>
      <w:r>
        <w:rPr>
          <w:rFonts w:cstheme="minorHAnsi"/>
          <w:szCs w:val="22"/>
        </w:rPr>
        <w:t xml:space="preserve">. </w:t>
      </w:r>
      <w:proofErr w:type="spellStart"/>
      <w:r w:rsidRPr="00850FC1">
        <w:rPr>
          <w:rFonts w:cstheme="minorHAnsi"/>
          <w:szCs w:val="22"/>
        </w:rPr>
        <w:t>Söz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konusu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bilgileri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Devlet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Arşivleri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="002D3715">
        <w:rPr>
          <w:rFonts w:cstheme="minorHAnsi"/>
          <w:szCs w:val="22"/>
        </w:rPr>
        <w:t>Başkanlığına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bildirmek</w:t>
      </w:r>
      <w:proofErr w:type="spellEnd"/>
      <w:r w:rsidRPr="00850FC1">
        <w:rPr>
          <w:rFonts w:cstheme="minorHAnsi"/>
          <w:szCs w:val="22"/>
        </w:rPr>
        <w:t>.</w:t>
      </w:r>
    </w:p>
    <w:p w14:paraId="4C215D9B" w14:textId="77777777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birimlere</w:t>
      </w:r>
      <w:proofErr w:type="spellEnd"/>
      <w:r>
        <w:t xml:space="preserve"> </w:t>
      </w:r>
      <w:proofErr w:type="spellStart"/>
      <w:r>
        <w:t>arşivcilik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yapmak</w:t>
      </w:r>
      <w:proofErr w:type="spellEnd"/>
      <w:r>
        <w:t>.</w:t>
      </w:r>
    </w:p>
    <w:p w14:paraId="1B547FC0" w14:textId="37BE3EB9" w:rsidR="00971218" w:rsidRDefault="00971218" w:rsidP="00850FC1">
      <w:pPr>
        <w:pStyle w:val="ListeParagraf"/>
        <w:numPr>
          <w:ilvl w:val="0"/>
          <w:numId w:val="5"/>
        </w:numPr>
        <w:jc w:val="left"/>
      </w:pPr>
      <w:proofErr w:type="spellStart"/>
      <w:r>
        <w:t>Teknolojik</w:t>
      </w:r>
      <w:proofErr w:type="spellEnd"/>
      <w:r>
        <w:t xml:space="preserve"> </w:t>
      </w:r>
      <w:proofErr w:type="spellStart"/>
      <w:r>
        <w:t>gelişmeleri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>.</w:t>
      </w:r>
    </w:p>
    <w:p w14:paraId="611B7ACD" w14:textId="213F2E39" w:rsidR="006436FD" w:rsidRDefault="006436FD" w:rsidP="006436FD">
      <w:pPr>
        <w:pStyle w:val="ListeParagraf"/>
        <w:numPr>
          <w:ilvl w:val="0"/>
          <w:numId w:val="10"/>
        </w:numPr>
        <w:spacing w:after="160" w:line="256" w:lineRule="auto"/>
        <w:jc w:val="left"/>
      </w:pPr>
      <w:proofErr w:type="spellStart"/>
      <w:r>
        <w:t>Havale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yazıl</w:t>
      </w:r>
      <w:proofErr w:type="spellEnd"/>
      <w:r>
        <w:rPr>
          <w:lang w:val="tr-TR"/>
        </w:rPr>
        <w:t xml:space="preserve">arla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sonuçlanıp</w:t>
      </w:r>
      <w:proofErr w:type="spellEnd"/>
      <w:r>
        <w:t xml:space="preserve"> </w:t>
      </w:r>
      <w:proofErr w:type="spellStart"/>
      <w:r>
        <w:t>sonuçlanmadığının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0FDD0C3D" w14:textId="0DE5F95C" w:rsidR="00A03353" w:rsidRDefault="00A03353" w:rsidP="006436FD">
      <w:pPr>
        <w:pStyle w:val="ListeParagraf"/>
        <w:numPr>
          <w:ilvl w:val="0"/>
          <w:numId w:val="10"/>
        </w:numPr>
        <w:spacing w:after="160" w:line="256" w:lineRule="auto"/>
        <w:jc w:val="left"/>
      </w:pPr>
      <w:proofErr w:type="spellStart"/>
      <w:r>
        <w:t>Kullanıcı</w:t>
      </w:r>
      <w:proofErr w:type="spellEnd"/>
      <w:r>
        <w:t xml:space="preserve"> </w:t>
      </w:r>
      <w:proofErr w:type="spellStart"/>
      <w:r>
        <w:t>odaklı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</w:t>
      </w:r>
      <w:proofErr w:type="spellStart"/>
      <w:r>
        <w:t>sergileyerek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akademisyen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kullanıcılardan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. </w:t>
      </w:r>
    </w:p>
    <w:p w14:paraId="4A9BE695" w14:textId="0CC053E5" w:rsidR="00A03353" w:rsidRDefault="00A03353" w:rsidP="006436FD">
      <w:pPr>
        <w:pStyle w:val="ListeParagraf"/>
        <w:numPr>
          <w:ilvl w:val="0"/>
          <w:numId w:val="10"/>
        </w:numPr>
        <w:spacing w:after="160" w:line="256" w:lineRule="auto"/>
        <w:jc w:val="left"/>
      </w:pPr>
      <w:proofErr w:type="spellStart"/>
      <w:r>
        <w:t>Muhafaza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, </w:t>
      </w:r>
      <w:proofErr w:type="spellStart"/>
      <w:r>
        <w:t>onarılmaya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duyan</w:t>
      </w:r>
      <w:proofErr w:type="spellEnd"/>
      <w:r>
        <w:t xml:space="preserve"> </w:t>
      </w:r>
      <w:proofErr w:type="spellStart"/>
      <w:r>
        <w:t>malzemeleri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restorasyonunu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. </w:t>
      </w:r>
    </w:p>
    <w:p w14:paraId="495F2B11" w14:textId="1D32300E" w:rsidR="002968EE" w:rsidRDefault="002968EE" w:rsidP="006436FD">
      <w:pPr>
        <w:pStyle w:val="ListeParagraf"/>
        <w:numPr>
          <w:ilvl w:val="0"/>
          <w:numId w:val="10"/>
        </w:numPr>
        <w:spacing w:after="160" w:line="256" w:lineRule="auto"/>
        <w:jc w:val="left"/>
      </w:pPr>
      <w:proofErr w:type="spellStart"/>
      <w:r>
        <w:t>Arşiv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gelişmesini</w:t>
      </w:r>
      <w:proofErr w:type="spellEnd"/>
      <w:r>
        <w:t xml:space="preserve"> sağlamak.</w:t>
      </w:r>
      <w:bookmarkStart w:id="0" w:name="_GoBack"/>
      <w:bookmarkEnd w:id="0"/>
    </w:p>
    <w:p w14:paraId="30C19258" w14:textId="195742B1" w:rsidR="00E002B5" w:rsidRDefault="00E002B5" w:rsidP="00821ADD">
      <w:pPr>
        <w:jc w:val="left"/>
      </w:pPr>
    </w:p>
    <w:p w14:paraId="1A7979DE" w14:textId="56ADDE38" w:rsidR="00232064" w:rsidRPr="00821ADD" w:rsidRDefault="00821ADD" w:rsidP="00821ADD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>
        <w:rPr>
          <w:szCs w:val="22"/>
        </w:rPr>
        <w:t>S</w:t>
      </w:r>
      <w:r w:rsidR="00A22425">
        <w:rPr>
          <w:szCs w:val="22"/>
        </w:rPr>
        <w:t>orumlulukları</w:t>
      </w:r>
      <w:proofErr w:type="spellEnd"/>
      <w:r w:rsidR="00A22425">
        <w:rPr>
          <w:szCs w:val="22"/>
        </w:rPr>
        <w:t xml:space="preserve">; </w:t>
      </w:r>
      <w:proofErr w:type="spellStart"/>
      <w:r w:rsidR="00A22425">
        <w:rPr>
          <w:szCs w:val="22"/>
        </w:rPr>
        <w:t>y</w:t>
      </w:r>
      <w:r w:rsidRPr="006701D8">
        <w:rPr>
          <w:szCs w:val="22"/>
        </w:rPr>
        <w:t>ukarıda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yazılı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bütün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görevleri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kanunlara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ve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yönetmeliklere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uygun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olarak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yerine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getirmek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ve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yerine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getirilmesini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sağlamaktır</w:t>
      </w:r>
      <w:proofErr w:type="spellEnd"/>
      <w:r w:rsidRPr="006701D8">
        <w:rPr>
          <w:szCs w:val="22"/>
        </w:rPr>
        <w:t>.</w:t>
      </w:r>
      <w:r w:rsidR="00232064">
        <w:br w:type="page"/>
      </w:r>
    </w:p>
    <w:p w14:paraId="3ED686B7" w14:textId="77777777" w:rsidR="0059637E" w:rsidRPr="0059637E" w:rsidRDefault="0059637E" w:rsidP="0059637E">
      <w:pPr>
        <w:keepNext/>
        <w:keepLines/>
        <w:pBdr>
          <w:top w:val="single" w:sz="4" w:space="4" w:color="FFFFFF" w:themeColor="background1"/>
          <w:left w:val="single" w:sz="4" w:space="0" w:color="FFFFFF" w:themeColor="background1"/>
          <w:bottom w:val="single" w:sz="4" w:space="4" w:color="FFFFFF" w:themeColor="background1"/>
          <w:right w:val="single" w:sz="4" w:space="0" w:color="FFFFFF" w:themeColor="background1"/>
        </w:pBdr>
        <w:shd w:val="clear" w:color="auto" w:fill="D9D9D9" w:themeFill="background1" w:themeFillShade="D9"/>
        <w:spacing w:before="120" w:after="120"/>
        <w:jc w:val="center"/>
        <w:outlineLvl w:val="0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lastRenderedPageBreak/>
        <w:t>İşin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İcrası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İçin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Kullanılması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Gereken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Yazılımlar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ve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Yetki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Düzeyleri</w:t>
      </w:r>
      <w:proofErr w:type="spellEnd"/>
    </w:p>
    <w:tbl>
      <w:tblPr>
        <w:tblStyle w:val="TabloKlavuzu1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59637E" w:rsidRPr="0059637E" w14:paraId="5B6DD7A2" w14:textId="77777777" w:rsidTr="00C80D2D">
        <w:tc>
          <w:tcPr>
            <w:tcW w:w="3976" w:type="dxa"/>
          </w:tcPr>
          <w:p w14:paraId="46FAE4F6" w14:textId="77777777" w:rsidR="0059637E" w:rsidRPr="0059637E" w:rsidRDefault="0059637E" w:rsidP="0059637E">
            <w:pPr>
              <w:rPr>
                <w:b/>
              </w:rPr>
            </w:pPr>
            <w:proofErr w:type="spellStart"/>
            <w:r w:rsidRPr="0059637E">
              <w:rPr>
                <w:b/>
              </w:rPr>
              <w:t>Sistem</w:t>
            </w:r>
            <w:proofErr w:type="spellEnd"/>
            <w:r w:rsidRPr="0059637E">
              <w:rPr>
                <w:b/>
              </w:rPr>
              <w:t xml:space="preserve"> </w:t>
            </w:r>
            <w:proofErr w:type="spellStart"/>
            <w:r w:rsidRPr="0059637E">
              <w:rPr>
                <w:b/>
              </w:rPr>
              <w:t>Adı</w:t>
            </w:r>
            <w:proofErr w:type="spellEnd"/>
          </w:p>
        </w:tc>
        <w:tc>
          <w:tcPr>
            <w:tcW w:w="2698" w:type="dxa"/>
          </w:tcPr>
          <w:p w14:paraId="222E79FA" w14:textId="77777777" w:rsidR="0059637E" w:rsidRPr="0059637E" w:rsidRDefault="0059637E" w:rsidP="0059637E">
            <w:pPr>
              <w:rPr>
                <w:b/>
              </w:rPr>
            </w:pPr>
            <w:proofErr w:type="spellStart"/>
            <w:r w:rsidRPr="0059637E">
              <w:rPr>
                <w:b/>
              </w:rPr>
              <w:t>Adres</w:t>
            </w:r>
            <w:proofErr w:type="spellEnd"/>
          </w:p>
        </w:tc>
        <w:tc>
          <w:tcPr>
            <w:tcW w:w="2346" w:type="dxa"/>
          </w:tcPr>
          <w:p w14:paraId="6C0A1FAB" w14:textId="77777777" w:rsidR="0059637E" w:rsidRPr="0059637E" w:rsidRDefault="0059637E" w:rsidP="0059637E">
            <w:pPr>
              <w:jc w:val="left"/>
              <w:rPr>
                <w:b/>
              </w:rPr>
            </w:pPr>
            <w:proofErr w:type="spellStart"/>
            <w:r w:rsidRPr="0059637E">
              <w:rPr>
                <w:b/>
              </w:rPr>
              <w:t>Yetki</w:t>
            </w:r>
            <w:proofErr w:type="spellEnd"/>
            <w:r w:rsidRPr="0059637E">
              <w:rPr>
                <w:b/>
              </w:rPr>
              <w:t>/</w:t>
            </w:r>
            <w:proofErr w:type="spellStart"/>
            <w:r w:rsidRPr="0059637E">
              <w:rPr>
                <w:b/>
              </w:rPr>
              <w:t>Rol</w:t>
            </w:r>
            <w:proofErr w:type="spellEnd"/>
            <w:r w:rsidRPr="0059637E">
              <w:rPr>
                <w:b/>
              </w:rPr>
              <w:t xml:space="preserve"> </w:t>
            </w:r>
            <w:proofErr w:type="spellStart"/>
            <w:r w:rsidRPr="0059637E">
              <w:rPr>
                <w:b/>
              </w:rPr>
              <w:t>Düzeyi</w:t>
            </w:r>
            <w:proofErr w:type="spellEnd"/>
          </w:p>
        </w:tc>
      </w:tr>
      <w:tr w:rsidR="0059637E" w:rsidRPr="0059637E" w14:paraId="50AA5D19" w14:textId="77777777" w:rsidTr="00C80D2D">
        <w:tc>
          <w:tcPr>
            <w:tcW w:w="3976" w:type="dxa"/>
          </w:tcPr>
          <w:p w14:paraId="1FF64D14" w14:textId="77777777" w:rsidR="0059637E" w:rsidRPr="0059637E" w:rsidRDefault="0059637E" w:rsidP="0059637E">
            <w:proofErr w:type="spellStart"/>
            <w:r w:rsidRPr="0059637E">
              <w:t>Kalite</w:t>
            </w:r>
            <w:proofErr w:type="spellEnd"/>
          </w:p>
        </w:tc>
        <w:tc>
          <w:tcPr>
            <w:tcW w:w="2698" w:type="dxa"/>
          </w:tcPr>
          <w:p w14:paraId="46F7A8F8" w14:textId="77777777" w:rsidR="0059637E" w:rsidRPr="0059637E" w:rsidRDefault="0059637E" w:rsidP="0059637E">
            <w:r w:rsidRPr="0059637E">
              <w:t>portal.itu.edu.tr</w:t>
            </w:r>
          </w:p>
        </w:tc>
        <w:tc>
          <w:tcPr>
            <w:tcW w:w="2346" w:type="dxa"/>
          </w:tcPr>
          <w:p w14:paraId="261A0E7B" w14:textId="77777777" w:rsidR="0059637E" w:rsidRPr="0059637E" w:rsidRDefault="0059637E" w:rsidP="0059637E">
            <w:pPr>
              <w:jc w:val="left"/>
            </w:pPr>
          </w:p>
        </w:tc>
      </w:tr>
      <w:tr w:rsidR="007F29D3" w:rsidRPr="0059637E" w14:paraId="16C2BB63" w14:textId="77777777" w:rsidTr="00C80D2D">
        <w:trPr>
          <w:trHeight w:val="258"/>
        </w:trPr>
        <w:tc>
          <w:tcPr>
            <w:tcW w:w="3976" w:type="dxa"/>
          </w:tcPr>
          <w:p w14:paraId="79387DE9" w14:textId="6742F9E5" w:rsidR="007F29D3" w:rsidRPr="0059637E" w:rsidRDefault="007F29D3" w:rsidP="0059637E">
            <w:proofErr w:type="spellStart"/>
            <w:r>
              <w:t>Papirüs</w:t>
            </w:r>
            <w:proofErr w:type="spellEnd"/>
          </w:p>
        </w:tc>
        <w:tc>
          <w:tcPr>
            <w:tcW w:w="2698" w:type="dxa"/>
          </w:tcPr>
          <w:p w14:paraId="074341F1" w14:textId="2E178405" w:rsidR="007F29D3" w:rsidRPr="0059637E" w:rsidRDefault="007F29D3" w:rsidP="007F29D3">
            <w:r>
              <w:t>papirus.itu.edu.tr</w:t>
            </w:r>
          </w:p>
        </w:tc>
        <w:tc>
          <w:tcPr>
            <w:tcW w:w="2346" w:type="dxa"/>
          </w:tcPr>
          <w:p w14:paraId="3A457C6A" w14:textId="77777777" w:rsidR="007F29D3" w:rsidRPr="0059637E" w:rsidRDefault="007F29D3" w:rsidP="0059637E">
            <w:pPr>
              <w:jc w:val="left"/>
            </w:pPr>
          </w:p>
        </w:tc>
      </w:tr>
      <w:tr w:rsidR="0059637E" w:rsidRPr="0059637E" w14:paraId="2D436816" w14:textId="77777777" w:rsidTr="00C80D2D">
        <w:trPr>
          <w:trHeight w:val="258"/>
        </w:trPr>
        <w:tc>
          <w:tcPr>
            <w:tcW w:w="3976" w:type="dxa"/>
          </w:tcPr>
          <w:p w14:paraId="32C26ECF" w14:textId="77777777" w:rsidR="0059637E" w:rsidRPr="0059637E" w:rsidRDefault="0059637E" w:rsidP="0059637E">
            <w:proofErr w:type="spellStart"/>
            <w:r w:rsidRPr="0059637E">
              <w:t>Arşiv</w:t>
            </w:r>
            <w:proofErr w:type="spellEnd"/>
            <w:r w:rsidRPr="0059637E">
              <w:t xml:space="preserve"> </w:t>
            </w:r>
            <w:proofErr w:type="spellStart"/>
            <w:r w:rsidRPr="0059637E">
              <w:t>programı</w:t>
            </w:r>
            <w:proofErr w:type="spellEnd"/>
          </w:p>
        </w:tc>
        <w:tc>
          <w:tcPr>
            <w:tcW w:w="2698" w:type="dxa"/>
          </w:tcPr>
          <w:p w14:paraId="6821D629" w14:textId="77777777" w:rsidR="0059637E" w:rsidRPr="0059637E" w:rsidRDefault="0059637E" w:rsidP="0059637E">
            <w:r w:rsidRPr="0059637E">
              <w:t>ituarsiv.itu.edu.tr</w:t>
            </w:r>
          </w:p>
        </w:tc>
        <w:tc>
          <w:tcPr>
            <w:tcW w:w="2346" w:type="dxa"/>
          </w:tcPr>
          <w:p w14:paraId="7521D05D" w14:textId="77777777" w:rsidR="0059637E" w:rsidRPr="0059637E" w:rsidRDefault="0059637E" w:rsidP="0059637E">
            <w:pPr>
              <w:jc w:val="left"/>
            </w:pPr>
          </w:p>
        </w:tc>
      </w:tr>
      <w:tr w:rsidR="0059637E" w:rsidRPr="0059637E" w14:paraId="30A2388A" w14:textId="77777777" w:rsidTr="00C80D2D">
        <w:trPr>
          <w:trHeight w:val="258"/>
        </w:trPr>
        <w:tc>
          <w:tcPr>
            <w:tcW w:w="3976" w:type="dxa"/>
          </w:tcPr>
          <w:p w14:paraId="0DFCE7D7" w14:textId="244E8522" w:rsidR="0059637E" w:rsidRPr="0059637E" w:rsidRDefault="007F518D" w:rsidP="0059637E">
            <w:r>
              <w:t xml:space="preserve">Web </w:t>
            </w:r>
            <w:proofErr w:type="spellStart"/>
            <w:r>
              <w:t>ardesi</w:t>
            </w:r>
            <w:proofErr w:type="spellEnd"/>
          </w:p>
        </w:tc>
        <w:tc>
          <w:tcPr>
            <w:tcW w:w="2698" w:type="dxa"/>
          </w:tcPr>
          <w:p w14:paraId="3A56E066" w14:textId="77777777" w:rsidR="0059637E" w:rsidRPr="0059637E" w:rsidRDefault="0059637E" w:rsidP="0059637E">
            <w:r w:rsidRPr="0059637E">
              <w:t>www.arsiv.itu.edu.tr</w:t>
            </w:r>
          </w:p>
        </w:tc>
        <w:tc>
          <w:tcPr>
            <w:tcW w:w="2346" w:type="dxa"/>
          </w:tcPr>
          <w:p w14:paraId="31EB72DC" w14:textId="77777777" w:rsidR="0059637E" w:rsidRPr="0059637E" w:rsidRDefault="0059637E" w:rsidP="0059637E">
            <w:pPr>
              <w:jc w:val="left"/>
            </w:pPr>
          </w:p>
        </w:tc>
      </w:tr>
      <w:tr w:rsidR="0059637E" w:rsidRPr="0059637E" w14:paraId="1FAE6108" w14:textId="77777777" w:rsidTr="00C80D2D">
        <w:trPr>
          <w:trHeight w:val="258"/>
        </w:trPr>
        <w:tc>
          <w:tcPr>
            <w:tcW w:w="3976" w:type="dxa"/>
          </w:tcPr>
          <w:p w14:paraId="5A5FDF12" w14:textId="77777777" w:rsidR="0059637E" w:rsidRPr="0059637E" w:rsidRDefault="0059637E" w:rsidP="0059637E">
            <w:r w:rsidRPr="0059637E">
              <w:t>e-mail</w:t>
            </w:r>
          </w:p>
        </w:tc>
        <w:tc>
          <w:tcPr>
            <w:tcW w:w="2698" w:type="dxa"/>
          </w:tcPr>
          <w:p w14:paraId="2AFDA6AF" w14:textId="77777777" w:rsidR="0059637E" w:rsidRPr="0059637E" w:rsidRDefault="0059637E" w:rsidP="0059637E">
            <w:r w:rsidRPr="0059637E">
              <w:t>arsiv@itu.edu.tr</w:t>
            </w:r>
          </w:p>
        </w:tc>
        <w:tc>
          <w:tcPr>
            <w:tcW w:w="2346" w:type="dxa"/>
          </w:tcPr>
          <w:p w14:paraId="5FF045B0" w14:textId="77777777" w:rsidR="0059637E" w:rsidRPr="0059637E" w:rsidRDefault="0059637E" w:rsidP="0059637E">
            <w:pPr>
              <w:jc w:val="left"/>
            </w:pPr>
          </w:p>
        </w:tc>
      </w:tr>
    </w:tbl>
    <w:p w14:paraId="7FCD3F8D" w14:textId="77777777" w:rsidR="0059637E" w:rsidRPr="0059637E" w:rsidRDefault="0059637E" w:rsidP="0059637E"/>
    <w:p w14:paraId="211C740C" w14:textId="77777777" w:rsidR="004B6F09" w:rsidRPr="004B6F09" w:rsidRDefault="004B6F09" w:rsidP="0059637E">
      <w:pPr>
        <w:pStyle w:val="Balk1"/>
      </w:pPr>
    </w:p>
    <w:sectPr w:rsidR="004B6F09" w:rsidRPr="004B6F09" w:rsidSect="00EC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B514" w14:textId="77777777" w:rsidR="00DF479D" w:rsidRDefault="00DF479D" w:rsidP="00DA1E50">
      <w:r>
        <w:separator/>
      </w:r>
    </w:p>
  </w:endnote>
  <w:endnote w:type="continuationSeparator" w:id="0">
    <w:p w14:paraId="00F4E968" w14:textId="77777777" w:rsidR="00DF479D" w:rsidRDefault="00DF479D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1EC7" w14:textId="77777777" w:rsidR="00E86FF8" w:rsidRDefault="00E86F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5F0C7D" w:rsidRPr="00A648C5" w14:paraId="06E5E448" w14:textId="77777777" w:rsidTr="005F0C7D">
      <w:trPr>
        <w:trHeight w:val="267"/>
      </w:trPr>
      <w:tc>
        <w:tcPr>
          <w:tcW w:w="4819" w:type="dxa"/>
          <w:gridSpan w:val="2"/>
          <w:vAlign w:val="center"/>
        </w:tcPr>
        <w:p w14:paraId="467AC2F7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6E96691A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1B4AEF74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24D0E2EC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7C9E50E5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6092673D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6B8F6759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777CB984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5F0C7D" w:rsidRPr="00A648C5" w14:paraId="0162C578" w14:textId="77777777" w:rsidTr="005F0C7D">
      <w:trPr>
        <w:trHeight w:val="267"/>
      </w:trPr>
      <w:tc>
        <w:tcPr>
          <w:tcW w:w="3011" w:type="dxa"/>
          <w:vAlign w:val="center"/>
        </w:tcPr>
        <w:p w14:paraId="3C736437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31D86574" w14:textId="795BE551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 w:rsidR="00E86FF8">
            <w:rPr>
              <w:rFonts w:ascii="Tahoma" w:hAnsi="Tahoma" w:cs="Tahoma"/>
              <w:noProof/>
              <w:sz w:val="14"/>
              <w:lang w:val="tr-TR"/>
            </w:rPr>
            <w:t>18.10.2017</w:t>
          </w:r>
        </w:p>
      </w:tc>
      <w:tc>
        <w:tcPr>
          <w:tcW w:w="3086" w:type="dxa"/>
          <w:vAlign w:val="center"/>
        </w:tcPr>
        <w:p w14:paraId="55B8D3F4" w14:textId="1E7FF986" w:rsidR="005F0C7D" w:rsidRPr="00396F10" w:rsidRDefault="005F0C7D" w:rsidP="00315379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 w:rsidR="00E86FF8">
            <w:rPr>
              <w:rFonts w:ascii="Tahoma" w:hAnsi="Tahoma" w:cs="Tahoma"/>
              <w:noProof/>
              <w:sz w:val="14"/>
              <w:szCs w:val="18"/>
            </w:rPr>
            <w:t>ARSV</w:t>
          </w:r>
          <w:r>
            <w:rPr>
              <w:rFonts w:ascii="Tahoma" w:hAnsi="Tahoma" w:cs="Tahoma"/>
              <w:noProof/>
              <w:sz w:val="14"/>
              <w:szCs w:val="18"/>
            </w:rPr>
            <w:t>-GT-</w:t>
          </w:r>
          <w:r w:rsidR="00E86FF8">
            <w:rPr>
              <w:rFonts w:ascii="Tahoma" w:hAnsi="Tahoma" w:cs="Tahoma"/>
              <w:noProof/>
              <w:sz w:val="14"/>
              <w:szCs w:val="18"/>
            </w:rPr>
            <w:t>01</w:t>
          </w:r>
        </w:p>
      </w:tc>
      <w:tc>
        <w:tcPr>
          <w:tcW w:w="1701" w:type="dxa"/>
          <w:vAlign w:val="center"/>
        </w:tcPr>
        <w:p w14:paraId="2EA8160D" w14:textId="34319989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2968EE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2968EE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5F0C7D" w:rsidRPr="00A648C5" w14:paraId="5A7A3562" w14:textId="77777777" w:rsidTr="005F0C7D">
      <w:trPr>
        <w:trHeight w:val="267"/>
      </w:trPr>
      <w:tc>
        <w:tcPr>
          <w:tcW w:w="4819" w:type="dxa"/>
          <w:gridSpan w:val="2"/>
        </w:tcPr>
        <w:p w14:paraId="453E50C7" w14:textId="77777777" w:rsidR="005F0C7D" w:rsidRPr="00667251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02ADC760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5FC66E16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1D5ED6F5" w14:textId="77777777" w:rsidR="005F0C7D" w:rsidRPr="00EC3447" w:rsidRDefault="005F0C7D" w:rsidP="00EC34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9863" w14:textId="77777777" w:rsidR="00E86FF8" w:rsidRDefault="00E86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2591" w14:textId="77777777" w:rsidR="00DF479D" w:rsidRDefault="00DF479D" w:rsidP="00DA1E50">
      <w:r>
        <w:separator/>
      </w:r>
    </w:p>
  </w:footnote>
  <w:footnote w:type="continuationSeparator" w:id="0">
    <w:p w14:paraId="191A8FE0" w14:textId="77777777" w:rsidR="00DF479D" w:rsidRDefault="00DF479D" w:rsidP="00DA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5ABF" w14:textId="77777777" w:rsidR="00E86FF8" w:rsidRDefault="00E86F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B7EE" w14:textId="77777777" w:rsidR="00E86FF8" w:rsidRDefault="00E86F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0FE8" w14:textId="77777777" w:rsidR="00E86FF8" w:rsidRDefault="00E86F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7E89"/>
    <w:multiLevelType w:val="hybridMultilevel"/>
    <w:tmpl w:val="32E4D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609E"/>
    <w:multiLevelType w:val="hybridMultilevel"/>
    <w:tmpl w:val="D0FE6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02BB9"/>
    <w:multiLevelType w:val="hybridMultilevel"/>
    <w:tmpl w:val="4A40C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FE"/>
    <w:multiLevelType w:val="hybridMultilevel"/>
    <w:tmpl w:val="0CC09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4BE"/>
    <w:multiLevelType w:val="hybridMultilevel"/>
    <w:tmpl w:val="69A8D60E"/>
    <w:lvl w:ilvl="0" w:tplc="6706D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13A3D"/>
    <w:multiLevelType w:val="hybridMultilevel"/>
    <w:tmpl w:val="D6841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81D84"/>
    <w:rsid w:val="000956F8"/>
    <w:rsid w:val="000D509D"/>
    <w:rsid w:val="000E03CA"/>
    <w:rsid w:val="00112216"/>
    <w:rsid w:val="001229F2"/>
    <w:rsid w:val="00135999"/>
    <w:rsid w:val="00165B27"/>
    <w:rsid w:val="001756DD"/>
    <w:rsid w:val="001A0773"/>
    <w:rsid w:val="001A1BDF"/>
    <w:rsid w:val="001A4ED4"/>
    <w:rsid w:val="001C19B1"/>
    <w:rsid w:val="00232064"/>
    <w:rsid w:val="0024745E"/>
    <w:rsid w:val="00266711"/>
    <w:rsid w:val="00276C32"/>
    <w:rsid w:val="002968EE"/>
    <w:rsid w:val="002A6716"/>
    <w:rsid w:val="002D3715"/>
    <w:rsid w:val="002D6BFC"/>
    <w:rsid w:val="002E0538"/>
    <w:rsid w:val="002E37E2"/>
    <w:rsid w:val="00304E4C"/>
    <w:rsid w:val="00304F43"/>
    <w:rsid w:val="00311A39"/>
    <w:rsid w:val="00315379"/>
    <w:rsid w:val="00323FF0"/>
    <w:rsid w:val="00352EE0"/>
    <w:rsid w:val="00365E34"/>
    <w:rsid w:val="0038704E"/>
    <w:rsid w:val="003D5031"/>
    <w:rsid w:val="003D57ED"/>
    <w:rsid w:val="003D59C9"/>
    <w:rsid w:val="003E764E"/>
    <w:rsid w:val="003F43D2"/>
    <w:rsid w:val="004131CE"/>
    <w:rsid w:val="00417DF5"/>
    <w:rsid w:val="004400AB"/>
    <w:rsid w:val="00456705"/>
    <w:rsid w:val="0046096C"/>
    <w:rsid w:val="00462749"/>
    <w:rsid w:val="004668E5"/>
    <w:rsid w:val="00496E94"/>
    <w:rsid w:val="004B11CE"/>
    <w:rsid w:val="004B3986"/>
    <w:rsid w:val="004B6F09"/>
    <w:rsid w:val="004D1786"/>
    <w:rsid w:val="004E1A12"/>
    <w:rsid w:val="0057393C"/>
    <w:rsid w:val="00573EBA"/>
    <w:rsid w:val="00575C91"/>
    <w:rsid w:val="0059637E"/>
    <w:rsid w:val="005A45FE"/>
    <w:rsid w:val="005B62E6"/>
    <w:rsid w:val="005C3BA4"/>
    <w:rsid w:val="005F0C7D"/>
    <w:rsid w:val="00612BAC"/>
    <w:rsid w:val="0064097B"/>
    <w:rsid w:val="006436FD"/>
    <w:rsid w:val="0065585E"/>
    <w:rsid w:val="00667251"/>
    <w:rsid w:val="006701D8"/>
    <w:rsid w:val="00675D96"/>
    <w:rsid w:val="00682396"/>
    <w:rsid w:val="006B56F9"/>
    <w:rsid w:val="006C7703"/>
    <w:rsid w:val="006E2F7C"/>
    <w:rsid w:val="006E7542"/>
    <w:rsid w:val="00700CC3"/>
    <w:rsid w:val="0071624C"/>
    <w:rsid w:val="00723CA7"/>
    <w:rsid w:val="00735F1F"/>
    <w:rsid w:val="0074330A"/>
    <w:rsid w:val="007461CF"/>
    <w:rsid w:val="00751B3D"/>
    <w:rsid w:val="007728A2"/>
    <w:rsid w:val="007962D1"/>
    <w:rsid w:val="007968F8"/>
    <w:rsid w:val="007A6637"/>
    <w:rsid w:val="007B3554"/>
    <w:rsid w:val="007E2A02"/>
    <w:rsid w:val="007E3842"/>
    <w:rsid w:val="007F29D3"/>
    <w:rsid w:val="007F518D"/>
    <w:rsid w:val="00821ADD"/>
    <w:rsid w:val="00846D20"/>
    <w:rsid w:val="00850FC1"/>
    <w:rsid w:val="00867BE1"/>
    <w:rsid w:val="00876FE5"/>
    <w:rsid w:val="0089007D"/>
    <w:rsid w:val="008B18E9"/>
    <w:rsid w:val="008C395E"/>
    <w:rsid w:val="00904E30"/>
    <w:rsid w:val="009166AB"/>
    <w:rsid w:val="00943DF1"/>
    <w:rsid w:val="00971218"/>
    <w:rsid w:val="009740FE"/>
    <w:rsid w:val="00976F88"/>
    <w:rsid w:val="009816E3"/>
    <w:rsid w:val="00986F61"/>
    <w:rsid w:val="0099496A"/>
    <w:rsid w:val="009D5A74"/>
    <w:rsid w:val="009F2547"/>
    <w:rsid w:val="009F2837"/>
    <w:rsid w:val="009F337B"/>
    <w:rsid w:val="00A03353"/>
    <w:rsid w:val="00A22425"/>
    <w:rsid w:val="00A30F31"/>
    <w:rsid w:val="00A55554"/>
    <w:rsid w:val="00A62BF7"/>
    <w:rsid w:val="00A87155"/>
    <w:rsid w:val="00AA5BC2"/>
    <w:rsid w:val="00AC12F8"/>
    <w:rsid w:val="00AD17A7"/>
    <w:rsid w:val="00AD7FE2"/>
    <w:rsid w:val="00AE2076"/>
    <w:rsid w:val="00B10094"/>
    <w:rsid w:val="00B177E1"/>
    <w:rsid w:val="00B36218"/>
    <w:rsid w:val="00B61B11"/>
    <w:rsid w:val="00BA1CB8"/>
    <w:rsid w:val="00BB2259"/>
    <w:rsid w:val="00BD01FF"/>
    <w:rsid w:val="00BD0733"/>
    <w:rsid w:val="00C05C97"/>
    <w:rsid w:val="00C0745D"/>
    <w:rsid w:val="00C31063"/>
    <w:rsid w:val="00C40D61"/>
    <w:rsid w:val="00C45D8D"/>
    <w:rsid w:val="00C55CF0"/>
    <w:rsid w:val="00C7157C"/>
    <w:rsid w:val="00C72DF8"/>
    <w:rsid w:val="00C8663E"/>
    <w:rsid w:val="00C92775"/>
    <w:rsid w:val="00CB4BDA"/>
    <w:rsid w:val="00CB7C73"/>
    <w:rsid w:val="00D55819"/>
    <w:rsid w:val="00D55987"/>
    <w:rsid w:val="00D644E9"/>
    <w:rsid w:val="00D760E4"/>
    <w:rsid w:val="00D94597"/>
    <w:rsid w:val="00DA1E50"/>
    <w:rsid w:val="00DB2018"/>
    <w:rsid w:val="00DC3B07"/>
    <w:rsid w:val="00DD665E"/>
    <w:rsid w:val="00DF479D"/>
    <w:rsid w:val="00DF5082"/>
    <w:rsid w:val="00E002B5"/>
    <w:rsid w:val="00E20CA3"/>
    <w:rsid w:val="00E26815"/>
    <w:rsid w:val="00E30E38"/>
    <w:rsid w:val="00E33BE2"/>
    <w:rsid w:val="00E46054"/>
    <w:rsid w:val="00E4618B"/>
    <w:rsid w:val="00E728FF"/>
    <w:rsid w:val="00E82994"/>
    <w:rsid w:val="00E86FF8"/>
    <w:rsid w:val="00E91472"/>
    <w:rsid w:val="00E956A1"/>
    <w:rsid w:val="00E976AF"/>
    <w:rsid w:val="00EA2601"/>
    <w:rsid w:val="00EC3447"/>
    <w:rsid w:val="00F203E3"/>
    <w:rsid w:val="00F3189C"/>
    <w:rsid w:val="00F32E6D"/>
    <w:rsid w:val="00F52674"/>
    <w:rsid w:val="00F651F9"/>
    <w:rsid w:val="00F71BBC"/>
    <w:rsid w:val="00F853C6"/>
    <w:rsid w:val="00FA2337"/>
    <w:rsid w:val="00FC2B57"/>
    <w:rsid w:val="00FD3462"/>
    <w:rsid w:val="00FD448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315379"/>
    <w:pPr>
      <w:jc w:val="both"/>
    </w:pPr>
    <w:rPr>
      <w:rFonts w:cs="Times New Roman"/>
      <w:sz w:val="22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59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Nilden Yiğit</cp:lastModifiedBy>
  <cp:revision>20</cp:revision>
  <cp:lastPrinted>2017-10-18T10:55:00Z</cp:lastPrinted>
  <dcterms:created xsi:type="dcterms:W3CDTF">2017-10-18T08:23:00Z</dcterms:created>
  <dcterms:modified xsi:type="dcterms:W3CDTF">2020-10-06T08:22:00Z</dcterms:modified>
</cp:coreProperties>
</file>